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A4672">
      <w:pPr>
        <w:jc w:val="center"/>
        <w:rPr>
          <w:sz w:val="28"/>
          <w:szCs w:val="28"/>
        </w:rPr>
      </w:pPr>
      <w:r>
        <w:rPr>
          <w:rFonts w:hint="eastAsia"/>
          <w:b/>
          <w:bCs/>
          <w:sz w:val="30"/>
          <w:szCs w:val="30"/>
        </w:rPr>
        <w:t>大庆市人民医院药物临床试</w:t>
      </w:r>
      <w:r>
        <w:rPr>
          <w:rFonts w:hint="eastAsia"/>
          <w:b/>
          <w:bCs/>
          <w:sz w:val="30"/>
          <w:szCs w:val="30"/>
          <w:lang w:val="en-US" w:eastAsia="zh-CN"/>
        </w:rPr>
        <w:t>安全信息管理</w:t>
      </w: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流程</w:t>
      </w:r>
    </w:p>
    <w:p w14:paraId="3FD03654">
      <w:pPr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32"/>
          <w:szCs w:val="28"/>
          <w:lang w:val="en-US" w:eastAsia="zh-CN"/>
        </w:rPr>
        <w:t>SAE/SUSAR/DSUR递交流程</w:t>
      </w:r>
    </w:p>
    <w:p w14:paraId="47958AA5"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 w:eastAsia="宋体"/>
          <w:sz w:val="24"/>
          <w:lang w:eastAsia="zh-CN"/>
        </w:rPr>
        <w:drawing>
          <wp:inline distT="0" distB="0" distL="114300" distR="114300">
            <wp:extent cx="5419725" cy="3648710"/>
            <wp:effectExtent l="0" t="0" r="5715" b="8890"/>
            <wp:docPr id="1" name="图片 1" descr="1734588697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45886970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364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07A69">
      <w:pPr>
        <w:spacing w:line="620" w:lineRule="atLeast"/>
        <w:jc w:val="left"/>
        <w:textAlignment w:val="baseline"/>
        <w:outlineLvl w:val="0"/>
        <w:rPr>
          <w:rFonts w:hint="eastAsia" w:ascii="华文仿宋" w:hAnsi="华文仿宋" w:eastAsia="华文仿宋" w:cs="Times New Roman"/>
          <w:b/>
          <w:sz w:val="28"/>
          <w:szCs w:val="28"/>
          <w:lang w:val="en-US" w:eastAsia="zh-CN"/>
        </w:rPr>
      </w:pPr>
    </w:p>
    <w:p w14:paraId="0F231249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  <w:t>递交时注意事项:</w:t>
      </w:r>
    </w:p>
    <w:p w14:paraId="63151AFB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1.收集时间：安全性信息报告由本机构伦理审查通过获得试验批件后开始接收。</w:t>
      </w:r>
    </w:p>
    <w:p w14:paraId="215EEDB5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2.研究者遵循临床试验方案填写SAE报告表，可用申办者未提供SAE报告表填写。</w:t>
      </w:r>
    </w:p>
    <w:p w14:paraId="0CB77653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3.申办方及时递交给研究者SUSAR和DSUR，由研究者审核无异议后填写SUSAR/DSUR递交函一并递交给机构办。</w:t>
      </w:r>
    </w:p>
    <w:p w14:paraId="49E8A662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4.外院SUSAR及时发送机构邮箱，申办方定期汇总。本院SUSAR及时发送机构邮箱同时递交机构办（纸质盖章资料）。</w:t>
      </w:r>
    </w:p>
    <w:p w14:paraId="37F7BC02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5.本院SAE及时发送机构邮箱同时纸质资料递交机构办。</w:t>
      </w:r>
    </w:p>
    <w:p w14:paraId="0C6A91AB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6.申办者定期汇总的DSUR向我院报告（纸质盖章资料），原则上报告周期不超过1年。</w:t>
      </w:r>
    </w:p>
    <w:p w14:paraId="13971CF8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7.项目结束递交的本院安全性信息资料同研究者文件夹一同归档。</w:t>
      </w:r>
    </w:p>
    <w:p w14:paraId="0503B07D">
      <w:pPr>
        <w:numPr>
          <w:ilvl w:val="0"/>
          <w:numId w:val="0"/>
        </w:numPr>
        <w:spacing w:line="360" w:lineRule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</w:p>
    <w:p w14:paraId="7BEE21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6F6407C"/>
    <w:rsid w:val="3AAB4E5A"/>
    <w:rsid w:val="3F9043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5"/>
    <w:unhideWhenUsed/>
    <w:qFormat/>
    <w:uiPriority w:val="0"/>
    <w:pPr>
      <w:keepNext/>
      <w:keepLines/>
      <w:spacing w:beforeLines="0" w:beforeAutospacing="0" w:afterLines="0" w:afterAutospacing="0" w:line="300" w:lineRule="auto"/>
      <w:jc w:val="left"/>
      <w:outlineLvl w:val="1"/>
    </w:pPr>
    <w:rPr>
      <w:rFonts w:ascii="Arial" w:hAnsi="Arial" w:eastAsia="黑体"/>
      <w:sz w:val="3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黑体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270</Words>
  <Characters>323</Characters>
  <Lines>0</Lines>
  <Paragraphs>0</Paragraphs>
  <TotalTime>0</TotalTime>
  <ScaleCrop>false</ScaleCrop>
  <LinksUpToDate>false</LinksUpToDate>
  <CharactersWithSpaces>323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8237477301</cp:lastModifiedBy>
  <dcterms:modified xsi:type="dcterms:W3CDTF">2025-01-02T06:53:03Z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eyJoZGlkIjoiYWFjOTg4NmMwZGQzZWJkMjU0MWJiZWQwNmRhOTYxMDQiLCJ1c2VySWQiOiIxNjI4NzA1ODQ4In0=</vt:lpwstr>
  </property>
  <property fmtid="{D5CDD505-2E9C-101B-9397-08002B2CF9AE}" pid="4" name="ICV">
    <vt:lpwstr>5F7AD76935654B418F9808362E44D476_12</vt:lpwstr>
  </property>
</Properties>
</file>